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78F" w:rsidRPr="00D6578F" w:rsidRDefault="00D6578F" w:rsidP="00D6578F">
      <w:pPr>
        <w:spacing w:before="100" w:beforeAutospacing="1" w:after="100" w:afterAutospacing="1" w:line="240" w:lineRule="auto"/>
        <w:outlineLvl w:val="0"/>
        <w:rPr>
          <w:rFonts w:ascii="Times New Roman" w:eastAsia="Times New Roman" w:hAnsi="Times New Roman" w:cs="Times New Roman"/>
          <w:b/>
          <w:bCs/>
          <w:kern w:val="36"/>
          <w:sz w:val="48"/>
          <w:szCs w:val="48"/>
          <w:lang/>
        </w:rPr>
      </w:pPr>
      <w:r w:rsidRPr="00D6578F">
        <w:rPr>
          <w:rFonts w:ascii="Times New Roman" w:eastAsia="Times New Roman" w:hAnsi="Times New Roman" w:cs="Times New Roman"/>
          <w:b/>
          <w:bCs/>
          <w:kern w:val="36"/>
          <w:sz w:val="48"/>
          <w:szCs w:val="48"/>
          <w:lang/>
        </w:rPr>
        <w:t xml:space="preserve">The incredible case of </w:t>
      </w:r>
      <w:proofErr w:type="spellStart"/>
      <w:r w:rsidRPr="00D6578F">
        <w:rPr>
          <w:rFonts w:ascii="Times New Roman" w:eastAsia="Times New Roman" w:hAnsi="Times New Roman" w:cs="Times New Roman"/>
          <w:b/>
          <w:bCs/>
          <w:kern w:val="36"/>
          <w:sz w:val="48"/>
          <w:szCs w:val="48"/>
          <w:lang/>
        </w:rPr>
        <w:t>Phineas</w:t>
      </w:r>
      <w:proofErr w:type="spellEnd"/>
      <w:r w:rsidRPr="00D6578F">
        <w:rPr>
          <w:rFonts w:ascii="Times New Roman" w:eastAsia="Times New Roman" w:hAnsi="Times New Roman" w:cs="Times New Roman"/>
          <w:b/>
          <w:bCs/>
          <w:kern w:val="36"/>
          <w:sz w:val="48"/>
          <w:szCs w:val="48"/>
          <w:lang/>
        </w:rPr>
        <w:t> Gage</w:t>
      </w:r>
    </w:p>
    <w:p w:rsidR="00D6578F" w:rsidRPr="00D6578F" w:rsidRDefault="00D6578F" w:rsidP="00D6578F">
      <w:pPr>
        <w:spacing w:before="100" w:beforeAutospacing="1" w:after="100" w:afterAutospacing="1" w:line="240" w:lineRule="auto"/>
        <w:rPr>
          <w:rFonts w:ascii="Times New Roman" w:eastAsia="Times New Roman" w:hAnsi="Times New Roman" w:cs="Times New Roman"/>
          <w:sz w:val="24"/>
          <w:szCs w:val="24"/>
          <w:lang/>
        </w:rPr>
      </w:pPr>
      <w:r>
        <w:rPr>
          <w:rFonts w:ascii="Times New Roman" w:eastAsia="Times New Roman" w:hAnsi="Times New Roman" w:cs="Times New Roman"/>
          <w:noProof/>
          <w:sz w:val="24"/>
          <w:szCs w:val="24"/>
        </w:rPr>
        <w:drawing>
          <wp:anchor distT="0" distB="0" distL="95250" distR="95250" simplePos="0" relativeHeight="251658240" behindDoc="0" locked="0" layoutInCell="1" allowOverlap="0">
            <wp:simplePos x="0" y="0"/>
            <wp:positionH relativeFrom="column">
              <wp:align>left</wp:align>
            </wp:positionH>
            <wp:positionV relativeFrom="line">
              <wp:posOffset>0</wp:posOffset>
            </wp:positionV>
            <wp:extent cx="2867025" cy="3333750"/>
            <wp:effectExtent l="19050" t="0" r="9525" b="0"/>
            <wp:wrapSquare wrapText="bothSides"/>
            <wp:docPr id="2" name="Picture 2" descr="pgnew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gnews.GIF"/>
                    <pic:cNvPicPr>
                      <a:picLocks noChangeAspect="1" noChangeArrowheads="1"/>
                    </pic:cNvPicPr>
                  </pic:nvPicPr>
                  <pic:blipFill>
                    <a:blip r:embed="rId4"/>
                    <a:srcRect/>
                    <a:stretch>
                      <a:fillRect/>
                    </a:stretch>
                  </pic:blipFill>
                  <pic:spPr bwMode="auto">
                    <a:xfrm>
                      <a:off x="0" y="0"/>
                      <a:ext cx="2867025" cy="3333750"/>
                    </a:xfrm>
                    <a:prstGeom prst="rect">
                      <a:avLst/>
                    </a:prstGeom>
                    <a:noFill/>
                    <a:ln w="9525">
                      <a:noFill/>
                      <a:miter lim="800000"/>
                      <a:headEnd/>
                      <a:tailEnd/>
                    </a:ln>
                  </pic:spPr>
                </pic:pic>
              </a:graphicData>
            </a:graphic>
          </wp:anchor>
        </w:drawing>
      </w:r>
      <w:proofErr w:type="spellStart"/>
      <w:r w:rsidRPr="00D6578F">
        <w:rPr>
          <w:rFonts w:ascii="Georgia" w:eastAsia="Times New Roman" w:hAnsi="Georgia" w:cs="Times New Roman"/>
          <w:sz w:val="20"/>
          <w:szCs w:val="20"/>
          <w:lang/>
        </w:rPr>
        <w:t>Phineas</w:t>
      </w:r>
      <w:proofErr w:type="spellEnd"/>
      <w:r w:rsidRPr="00D6578F">
        <w:rPr>
          <w:rFonts w:ascii="Georgia" w:eastAsia="Times New Roman" w:hAnsi="Georgia" w:cs="Times New Roman"/>
          <w:sz w:val="20"/>
          <w:szCs w:val="20"/>
          <w:lang/>
        </w:rPr>
        <w:t xml:space="preserve"> Gage (1823-1860) is one of the earliest documented cases of severe brain injury. Gage is the index case of an individual who suffered major personality changes after brain trauma. As such, he is a legend in the annals of neurology, which is largely based on the study of brain-damaged patients.</w:t>
      </w:r>
    </w:p>
    <w:p w:rsidR="00D6578F" w:rsidRPr="00D6578F" w:rsidRDefault="00D6578F" w:rsidP="00D6578F">
      <w:pPr>
        <w:spacing w:before="100" w:beforeAutospacing="1" w:after="100" w:afterAutospacing="1" w:line="240" w:lineRule="auto"/>
        <w:rPr>
          <w:rFonts w:ascii="Times New Roman" w:eastAsia="Times New Roman" w:hAnsi="Times New Roman" w:cs="Times New Roman"/>
          <w:sz w:val="24"/>
          <w:szCs w:val="24"/>
          <w:lang/>
        </w:rPr>
      </w:pPr>
      <w:r w:rsidRPr="00D6578F">
        <w:rPr>
          <w:rFonts w:ascii="Georgia" w:eastAsia="Times New Roman" w:hAnsi="Georgia" w:cs="Times New Roman"/>
          <w:sz w:val="20"/>
          <w:szCs w:val="20"/>
          <w:lang/>
        </w:rPr>
        <w:t>Gage was foreman of a crew of railroad construction workers who were excavating rocks to make way for the railroad track. This involved drilling holes deep into the boulders and filling them with dynamite. A fuse was then inserted, and the entrance to the hole plugged with sand, so that the force of the explosion would be directed into the boulder. This was done with a crow bar-like tool called a tamping iron.</w:t>
      </w:r>
    </w:p>
    <w:p w:rsidR="00D6578F" w:rsidRPr="00D6578F" w:rsidRDefault="00D6578F" w:rsidP="00D6578F">
      <w:pPr>
        <w:spacing w:before="100" w:beforeAutospacing="1" w:after="100" w:afterAutospacing="1" w:line="240" w:lineRule="auto"/>
        <w:rPr>
          <w:rFonts w:ascii="Times New Roman" w:eastAsia="Times New Roman" w:hAnsi="Times New Roman" w:cs="Times New Roman"/>
          <w:sz w:val="24"/>
          <w:szCs w:val="24"/>
          <w:lang/>
        </w:rPr>
      </w:pPr>
      <w:r w:rsidRPr="00D6578F">
        <w:rPr>
          <w:rFonts w:ascii="Georgia" w:eastAsia="Times New Roman" w:hAnsi="Georgia" w:cs="Times New Roman"/>
          <w:sz w:val="20"/>
          <w:szCs w:val="20"/>
          <w:lang/>
        </w:rPr>
        <w:t xml:space="preserve">On 13th September, 1848, 25-year-old Gage and his crew were working on the Rutland and Burlington Railroad near Cavendish in Vermont. Gage was preparing for an explosion by </w:t>
      </w:r>
      <w:proofErr w:type="gramStart"/>
      <w:r w:rsidRPr="00D6578F">
        <w:rPr>
          <w:rFonts w:ascii="Georgia" w:eastAsia="Times New Roman" w:hAnsi="Georgia" w:cs="Times New Roman"/>
          <w:sz w:val="20"/>
          <w:szCs w:val="20"/>
          <w:lang/>
        </w:rPr>
        <w:t>compacting</w:t>
      </w:r>
      <w:proofErr w:type="gramEnd"/>
      <w:r w:rsidRPr="00D6578F">
        <w:rPr>
          <w:rFonts w:ascii="Georgia" w:eastAsia="Times New Roman" w:hAnsi="Georgia" w:cs="Times New Roman"/>
          <w:sz w:val="20"/>
          <w:szCs w:val="20"/>
          <w:lang/>
        </w:rPr>
        <w:t xml:space="preserve"> a bore with explosive powder using a tamping iron. While he was doing this, a spark from the tamping iron ignited the powder, causing the iron to be propelled at high speed straight through Gage’s skull. It entered under the left cheek bone and exited through the top of the head, and was later recovered some 30 yards from the site of the accident. </w:t>
      </w:r>
    </w:p>
    <w:p w:rsidR="00D6578F" w:rsidRPr="00D6578F" w:rsidRDefault="00D6578F" w:rsidP="00D6578F">
      <w:pPr>
        <w:spacing w:before="100" w:beforeAutospacing="1" w:after="100" w:afterAutospacing="1" w:line="240" w:lineRule="auto"/>
        <w:rPr>
          <w:rFonts w:ascii="Times New Roman" w:eastAsia="Times New Roman" w:hAnsi="Times New Roman" w:cs="Times New Roman"/>
          <w:sz w:val="24"/>
          <w:szCs w:val="24"/>
          <w:lang/>
        </w:rPr>
      </w:pPr>
      <w:r w:rsidRPr="00D6578F">
        <w:rPr>
          <w:rFonts w:ascii="Georgia" w:eastAsia="Times New Roman" w:hAnsi="Georgia" w:cs="Times New Roman"/>
          <w:sz w:val="20"/>
          <w:szCs w:val="20"/>
          <w:lang/>
        </w:rPr>
        <w:t>The doctor who later attended to him, John Martin Harlow, later noted that the tamping iron was found “several rods [1 rod= 5.02m] behind him, where it was afterward picked up by his men smeared with blood and brain”. The tamping iron was 3 ft. 8 inches in length and 1.25 inches in diameter at one end, not 1.25 inches in circumference, as reported in the newspaper report on the left. It tapered at one end, over a distance of about 1 ft., to a blunt end 0.25 inches in diameter, and weighed more than 6 kg.</w:t>
      </w:r>
    </w:p>
    <w:p w:rsidR="00D6578F" w:rsidRPr="00D6578F" w:rsidRDefault="00D6578F" w:rsidP="00D6578F">
      <w:pPr>
        <w:spacing w:before="100" w:beforeAutospacing="1" w:after="100" w:afterAutospacing="1" w:line="240" w:lineRule="auto"/>
        <w:rPr>
          <w:rFonts w:ascii="Times New Roman" w:eastAsia="Times New Roman" w:hAnsi="Times New Roman" w:cs="Times New Roman"/>
          <w:sz w:val="24"/>
          <w:szCs w:val="24"/>
          <w:lang/>
        </w:rPr>
      </w:pPr>
      <w:r w:rsidRPr="00D6578F">
        <w:rPr>
          <w:rFonts w:ascii="Georgia" w:eastAsia="Times New Roman" w:hAnsi="Georgia" w:cs="Times New Roman"/>
          <w:sz w:val="20"/>
          <w:szCs w:val="20"/>
          <w:lang/>
        </w:rPr>
        <w:t xml:space="preserve">Whether or not Gage lost consciousness is not known, but, remarkably, he was conscious and able to walk within minutes of the accident. He was then seated in an oxcart, on which he was transported three-quarters of a mile to the boarding house where he was staying. Here, he was attended to by Harlow, the local physician. At the boarding house, Harlow cleaned Gage’s wounds by removing small fragments of bone, and replaced some of the larger skull fragments that remained attached but had been displaced by the tamping iron. He then closed the larger wound at the top of Gauge’s head with adhesive straps, and covered the opening with a wet compress. Gage’s wounds were not treated surgically, but were instead left open to drain into the dressings. </w:t>
      </w:r>
    </w:p>
    <w:p w:rsidR="00D6578F" w:rsidRPr="00D6578F" w:rsidRDefault="00D6578F" w:rsidP="00D6578F">
      <w:pPr>
        <w:spacing w:before="100" w:beforeAutospacing="1" w:after="100" w:afterAutospacing="1" w:line="240" w:lineRule="auto"/>
        <w:rPr>
          <w:rFonts w:ascii="Times New Roman" w:eastAsia="Times New Roman" w:hAnsi="Times New Roman" w:cs="Times New Roman"/>
          <w:sz w:val="24"/>
          <w:szCs w:val="24"/>
          <w:lang/>
        </w:rPr>
      </w:pPr>
      <w:r w:rsidRPr="00D6578F">
        <w:rPr>
          <w:rFonts w:ascii="Georgia" w:eastAsia="Times New Roman" w:hAnsi="Georgia" w:cs="Times New Roman"/>
          <w:sz w:val="20"/>
          <w:szCs w:val="20"/>
          <w:lang/>
        </w:rPr>
        <w:t xml:space="preserve">Within a few days of his accident, one of Gage’s exposed </w:t>
      </w:r>
      <w:proofErr w:type="gramStart"/>
      <w:r w:rsidRPr="00D6578F">
        <w:rPr>
          <w:rFonts w:ascii="Georgia" w:eastAsia="Times New Roman" w:hAnsi="Georgia" w:cs="Times New Roman"/>
          <w:sz w:val="20"/>
          <w:szCs w:val="20"/>
          <w:lang/>
        </w:rPr>
        <w:t>brain</w:t>
      </w:r>
      <w:proofErr w:type="gramEnd"/>
      <w:r w:rsidRPr="00D6578F">
        <w:rPr>
          <w:rFonts w:ascii="Georgia" w:eastAsia="Times New Roman" w:hAnsi="Georgia" w:cs="Times New Roman"/>
          <w:sz w:val="20"/>
          <w:szCs w:val="20"/>
          <w:lang/>
        </w:rPr>
        <w:t xml:space="preserve"> became infected with a “fungus”, and he lapsed into a semi-comatose state. His family prepared a coffin for him, but Gage recovered. Two weeks after the accident, Harlow released 8 fluid ounces of pus from an abscess under Gage’s scalp, which would otherwise have leaked into the brain, with fatal consequences. By 1st January 1849, Gage was leading an apparently normal life.</w:t>
      </w:r>
    </w:p>
    <w:p w:rsidR="00D6578F" w:rsidRPr="00D6578F" w:rsidRDefault="00D6578F" w:rsidP="00D6578F">
      <w:pPr>
        <w:spacing w:before="100" w:beforeAutospacing="1" w:after="100" w:afterAutospacing="1" w:line="240" w:lineRule="auto"/>
        <w:rPr>
          <w:rFonts w:ascii="Times New Roman" w:eastAsia="Times New Roman" w:hAnsi="Times New Roman" w:cs="Times New Roman"/>
          <w:sz w:val="24"/>
          <w:szCs w:val="24"/>
          <w:lang/>
        </w:rPr>
      </w:pPr>
      <w:r w:rsidRPr="00D6578F">
        <w:rPr>
          <w:rFonts w:ascii="Georgia" w:eastAsia="Times New Roman" w:hAnsi="Georgia" w:cs="Times New Roman"/>
          <w:sz w:val="20"/>
          <w:szCs w:val="20"/>
          <w:lang/>
        </w:rPr>
        <w:t xml:space="preserve">Harlow’s case report of Gage’s injuries appeared as a letter to the editor of the </w:t>
      </w:r>
      <w:hyperlink r:id="rId5" w:history="1">
        <w:r w:rsidRPr="00D6578F">
          <w:rPr>
            <w:rFonts w:ascii="Georgia" w:eastAsia="Times New Roman" w:hAnsi="Georgia" w:cs="Times New Roman"/>
            <w:i/>
            <w:iCs/>
            <w:color w:val="0000FF"/>
            <w:sz w:val="20"/>
            <w:u w:val="single"/>
            <w:lang/>
          </w:rPr>
          <w:t>Boston Medical and Surgical Journal</w:t>
        </w:r>
      </w:hyperlink>
      <w:r w:rsidRPr="00D6578F">
        <w:rPr>
          <w:rFonts w:ascii="Georgia" w:eastAsia="Times New Roman" w:hAnsi="Georgia" w:cs="Times New Roman"/>
          <w:sz w:val="20"/>
          <w:szCs w:val="20"/>
          <w:lang/>
        </w:rPr>
        <w:t xml:space="preserve">. The report of the “hitherto unparalleled case” contains few neurological details, and </w:t>
      </w:r>
      <w:r w:rsidRPr="00D6578F">
        <w:rPr>
          <w:rFonts w:ascii="Georgia" w:eastAsia="Times New Roman" w:hAnsi="Georgia" w:cs="Times New Roman"/>
          <w:sz w:val="20"/>
          <w:szCs w:val="20"/>
          <w:lang/>
        </w:rPr>
        <w:lastRenderedPageBreak/>
        <w:t>was at first met with skepticism, because it was thought that no-one could survive such an extreme injury. Harlow describes Gage’s injury as follows:</w:t>
      </w:r>
    </w:p>
    <w:p w:rsidR="00D6578F" w:rsidRPr="00D6578F" w:rsidRDefault="00D6578F" w:rsidP="00D6578F">
      <w:pPr>
        <w:spacing w:beforeAutospacing="1" w:after="100" w:afterAutospacing="1" w:line="240" w:lineRule="auto"/>
        <w:rPr>
          <w:rFonts w:ascii="Times New Roman" w:eastAsia="Times New Roman" w:hAnsi="Times New Roman" w:cs="Times New Roman"/>
          <w:sz w:val="24"/>
          <w:szCs w:val="24"/>
          <w:lang/>
        </w:rPr>
      </w:pPr>
      <w:r w:rsidRPr="00D6578F">
        <w:rPr>
          <w:rFonts w:ascii="Georgia" w:eastAsia="Times New Roman" w:hAnsi="Georgia" w:cs="Times New Roman"/>
          <w:sz w:val="20"/>
          <w:szCs w:val="20"/>
          <w:lang/>
        </w:rPr>
        <w:t xml:space="preserve">[The tamping iron] entered the cranium, passing through the anterior left lobe of the cerebrum, and made its exit in the medial line, at the junction of the coronal and </w:t>
      </w:r>
      <w:proofErr w:type="spellStart"/>
      <w:r w:rsidRPr="00D6578F">
        <w:rPr>
          <w:rFonts w:ascii="Georgia" w:eastAsia="Times New Roman" w:hAnsi="Georgia" w:cs="Times New Roman"/>
          <w:sz w:val="20"/>
          <w:szCs w:val="20"/>
          <w:lang/>
        </w:rPr>
        <w:t>sagittal</w:t>
      </w:r>
      <w:proofErr w:type="spellEnd"/>
      <w:r w:rsidRPr="00D6578F">
        <w:rPr>
          <w:rFonts w:ascii="Georgia" w:eastAsia="Times New Roman" w:hAnsi="Georgia" w:cs="Times New Roman"/>
          <w:sz w:val="20"/>
          <w:szCs w:val="20"/>
          <w:lang/>
        </w:rPr>
        <w:t xml:space="preserve"> sutures, lacerating the longitudinal sinus, fracturing the parietal and frontal bones extensively, breaking up considerable portions of the brain, and protruding the globe of the left eye from its socket, by nearly half its diameter. </w:t>
      </w:r>
    </w:p>
    <w:p w:rsidR="00D6578F" w:rsidRPr="00D6578F" w:rsidRDefault="00D6578F" w:rsidP="00D6578F">
      <w:pPr>
        <w:spacing w:before="100" w:beforeAutospacing="1" w:after="100" w:afterAutospacing="1" w:line="240" w:lineRule="auto"/>
        <w:rPr>
          <w:rFonts w:ascii="Times New Roman" w:eastAsia="Times New Roman" w:hAnsi="Times New Roman" w:cs="Times New Roman"/>
          <w:sz w:val="24"/>
          <w:szCs w:val="24"/>
          <w:lang/>
        </w:rPr>
      </w:pPr>
      <w:r w:rsidRPr="00D6578F">
        <w:rPr>
          <w:rFonts w:ascii="Georgia" w:eastAsia="Times New Roman" w:hAnsi="Georgia" w:cs="Times New Roman"/>
          <w:sz w:val="20"/>
          <w:szCs w:val="20"/>
          <w:lang/>
        </w:rPr>
        <w:t>Harlow goes on to describe how, while examining Gage, he determined that no bone fragments remained inside the skull:</w:t>
      </w:r>
    </w:p>
    <w:p w:rsidR="00D6578F" w:rsidRPr="00D6578F" w:rsidRDefault="00D6578F" w:rsidP="00D6578F">
      <w:pPr>
        <w:spacing w:beforeAutospacing="1" w:after="100" w:afterAutospacing="1" w:line="240" w:lineRule="auto"/>
        <w:rPr>
          <w:rFonts w:ascii="Times New Roman" w:eastAsia="Times New Roman" w:hAnsi="Times New Roman" w:cs="Times New Roman"/>
          <w:sz w:val="24"/>
          <w:szCs w:val="24"/>
          <w:lang/>
        </w:rPr>
      </w:pPr>
      <w:r w:rsidRPr="00D6578F">
        <w:rPr>
          <w:rFonts w:ascii="Georgia" w:eastAsia="Times New Roman" w:hAnsi="Georgia" w:cs="Times New Roman"/>
          <w:sz w:val="20"/>
          <w:szCs w:val="20"/>
          <w:lang/>
        </w:rPr>
        <w:t>…in searching to ascertain if there were other foreign bodies there, I passed in the index finger its whole length, without the least resistance, in the direction of the sound [of the hemorrhaging?] in the cheek, which received the other finger in like manner.</w:t>
      </w:r>
    </w:p>
    <w:p w:rsidR="00D6578F" w:rsidRPr="00D6578F" w:rsidRDefault="00D6578F" w:rsidP="00D6578F">
      <w:pPr>
        <w:spacing w:before="100" w:beforeAutospacing="1" w:after="100" w:afterAutospacing="1" w:line="240" w:lineRule="auto"/>
        <w:rPr>
          <w:rFonts w:ascii="Times New Roman" w:eastAsia="Times New Roman" w:hAnsi="Times New Roman" w:cs="Times New Roman"/>
          <w:sz w:val="24"/>
          <w:szCs w:val="24"/>
          <w:lang/>
        </w:rPr>
      </w:pPr>
      <w:r w:rsidRPr="00D6578F">
        <w:rPr>
          <w:rFonts w:ascii="Georgia" w:eastAsia="Times New Roman" w:hAnsi="Georgia" w:cs="Times New Roman"/>
          <w:sz w:val="20"/>
          <w:szCs w:val="20"/>
          <w:lang/>
        </w:rPr>
        <w:t>A second report was published in 1850 by Henry J. Bigelow, a professor of surgery at Harv</w:t>
      </w:r>
      <w:r>
        <w:rPr>
          <w:rFonts w:ascii="Georgia" w:eastAsia="Times New Roman" w:hAnsi="Georgia" w:cs="Times New Roman"/>
          <w:sz w:val="20"/>
          <w:szCs w:val="20"/>
          <w:lang/>
        </w:rPr>
        <w:t>ard University. Bigelow emphasiz</w:t>
      </w:r>
      <w:r w:rsidRPr="00D6578F">
        <w:rPr>
          <w:rFonts w:ascii="Georgia" w:eastAsia="Times New Roman" w:hAnsi="Georgia" w:cs="Times New Roman"/>
          <w:sz w:val="20"/>
          <w:szCs w:val="20"/>
          <w:lang/>
        </w:rPr>
        <w:t xml:space="preserve">ed Gage’s lack of symptoms, and reported that Gage was “quite recovered in faculties of body and mind”. Because of the disbelief with which Harlow’s 1848 report was met, it was, for the next 20 years, Bigelow’s account that came to be generally accepted by the medical community. </w:t>
      </w:r>
    </w:p>
    <w:p w:rsidR="00D6578F" w:rsidRPr="00D6578F" w:rsidRDefault="00D6578F" w:rsidP="00D6578F">
      <w:pPr>
        <w:spacing w:before="100" w:beforeAutospacing="1" w:after="100" w:afterAutospacing="1" w:line="240" w:lineRule="auto"/>
        <w:rPr>
          <w:rFonts w:ascii="Times New Roman" w:eastAsia="Times New Roman" w:hAnsi="Times New Roman" w:cs="Times New Roman"/>
          <w:sz w:val="24"/>
          <w:szCs w:val="24"/>
          <w:lang/>
        </w:rPr>
      </w:pPr>
      <w:r w:rsidRPr="00D6578F">
        <w:rPr>
          <w:rFonts w:ascii="Georgia" w:eastAsia="Times New Roman" w:hAnsi="Georgia" w:cs="Times New Roman"/>
          <w:sz w:val="20"/>
          <w:szCs w:val="20"/>
          <w:lang/>
        </w:rPr>
        <w:t xml:space="preserve">Gage did, according to Harlow, retain “full possession of his reason” after the accident, but his wife and other people close to him soon began to notice dramatic changes in his personality. It wasn’t until 1868 that Harlow documented the “mental manifestations” of Gage’s brain injuries, in a report published in the </w:t>
      </w:r>
      <w:r w:rsidRPr="00D6578F">
        <w:rPr>
          <w:rFonts w:ascii="Georgia" w:eastAsia="Times New Roman" w:hAnsi="Georgia" w:cs="Times New Roman"/>
          <w:i/>
          <w:iCs/>
          <w:sz w:val="20"/>
          <w:lang/>
        </w:rPr>
        <w:t>Bulletin of the Massachusetts Medical Society</w:t>
      </w:r>
      <w:r w:rsidRPr="00D6578F">
        <w:rPr>
          <w:rFonts w:ascii="Georgia" w:eastAsia="Times New Roman" w:hAnsi="Georgia" w:cs="Times New Roman"/>
          <w:sz w:val="20"/>
          <w:szCs w:val="20"/>
          <w:lang/>
        </w:rPr>
        <w:t>:</w:t>
      </w:r>
    </w:p>
    <w:p w:rsidR="00D6578F" w:rsidRPr="00D6578F" w:rsidRDefault="00D6578F" w:rsidP="00D6578F">
      <w:pPr>
        <w:spacing w:beforeAutospacing="1" w:after="100" w:afterAutospacing="1" w:line="240" w:lineRule="auto"/>
        <w:rPr>
          <w:rFonts w:ascii="Times New Roman" w:eastAsia="Times New Roman" w:hAnsi="Times New Roman" w:cs="Times New Roman"/>
          <w:sz w:val="24"/>
          <w:szCs w:val="24"/>
          <w:lang/>
        </w:rPr>
      </w:pP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571625" cy="2228850"/>
            <wp:effectExtent l="19050" t="0" r="9525" b="0"/>
            <wp:wrapSquare wrapText="bothSides"/>
            <wp:docPr id="4" name="Picture 4" descr="phineas_g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hineas_gage.JPG"/>
                    <pic:cNvPicPr>
                      <a:picLocks noChangeAspect="1" noChangeArrowheads="1"/>
                    </pic:cNvPicPr>
                  </pic:nvPicPr>
                  <pic:blipFill>
                    <a:blip r:embed="rId6"/>
                    <a:srcRect/>
                    <a:stretch>
                      <a:fillRect/>
                    </a:stretch>
                  </pic:blipFill>
                  <pic:spPr bwMode="auto">
                    <a:xfrm>
                      <a:off x="0" y="0"/>
                      <a:ext cx="1571625" cy="2228850"/>
                    </a:xfrm>
                    <a:prstGeom prst="rect">
                      <a:avLst/>
                    </a:prstGeom>
                    <a:noFill/>
                    <a:ln w="9525">
                      <a:noFill/>
                      <a:miter lim="800000"/>
                      <a:headEnd/>
                      <a:tailEnd/>
                    </a:ln>
                  </pic:spPr>
                </pic:pic>
              </a:graphicData>
            </a:graphic>
          </wp:anchor>
        </w:drawing>
      </w:r>
      <w:r w:rsidRPr="00D6578F">
        <w:rPr>
          <w:rFonts w:ascii="Georgia" w:eastAsia="Times New Roman" w:hAnsi="Georgia" w:cs="Times New Roman"/>
          <w:sz w:val="20"/>
          <w:szCs w:val="20"/>
          <w:lang/>
        </w:rPr>
        <w:t xml:space="preserve">His contractors, who regarded him as the most efficient and capable foreman in their employ previous to his injury, considered the change in his mind so marked that they could not give him his place again. He is fitful, irreverent, indulging at times in the grossest profanity (which was not previously his custom), manifesting but little deference for his fellows, impatient of restraint of advice when it conflicts with his desires, at times </w:t>
      </w:r>
      <w:proofErr w:type="spellStart"/>
      <w:r w:rsidRPr="00D6578F">
        <w:rPr>
          <w:rFonts w:ascii="Georgia" w:eastAsia="Times New Roman" w:hAnsi="Georgia" w:cs="Times New Roman"/>
          <w:sz w:val="20"/>
          <w:szCs w:val="20"/>
          <w:lang/>
        </w:rPr>
        <w:t>pertinaciously</w:t>
      </w:r>
      <w:proofErr w:type="spellEnd"/>
      <w:r w:rsidRPr="00D6578F">
        <w:rPr>
          <w:rFonts w:ascii="Georgia" w:eastAsia="Times New Roman" w:hAnsi="Georgia" w:cs="Times New Roman"/>
          <w:sz w:val="20"/>
          <w:szCs w:val="20"/>
          <w:lang/>
        </w:rPr>
        <w:t xml:space="preserve"> </w:t>
      </w:r>
      <w:proofErr w:type="spellStart"/>
      <w:r w:rsidRPr="00D6578F">
        <w:rPr>
          <w:rFonts w:ascii="Georgia" w:eastAsia="Times New Roman" w:hAnsi="Georgia" w:cs="Times New Roman"/>
          <w:sz w:val="20"/>
          <w:szCs w:val="20"/>
          <w:lang/>
        </w:rPr>
        <w:t>obstinent</w:t>
      </w:r>
      <w:proofErr w:type="spellEnd"/>
      <w:r w:rsidRPr="00D6578F">
        <w:rPr>
          <w:rFonts w:ascii="Georgia" w:eastAsia="Times New Roman" w:hAnsi="Georgia" w:cs="Times New Roman"/>
          <w:sz w:val="20"/>
          <w:szCs w:val="20"/>
          <w:lang/>
        </w:rPr>
        <w:t xml:space="preserve">, yet capricious and vacillating, devising many plans of future operation, which are no sooner arranged than they are abandoned in turn for others appearing more feasible. In this regard, his mind was radically changed, so decidedly that his friends and acquaintances said he was “no longer Gage.” </w:t>
      </w:r>
    </w:p>
    <w:p w:rsidR="00D6578F" w:rsidRPr="00D6578F" w:rsidRDefault="00D6578F" w:rsidP="00D6578F">
      <w:pPr>
        <w:spacing w:before="100" w:beforeAutospacing="1" w:after="100" w:afterAutospacing="1" w:line="240" w:lineRule="auto"/>
        <w:rPr>
          <w:rFonts w:ascii="Times New Roman" w:eastAsia="Times New Roman" w:hAnsi="Times New Roman" w:cs="Times New Roman"/>
          <w:sz w:val="24"/>
          <w:szCs w:val="24"/>
          <w:lang/>
        </w:rPr>
      </w:pPr>
      <w:r w:rsidRPr="00D6578F">
        <w:rPr>
          <w:rFonts w:ascii="Georgia" w:eastAsia="Times New Roman" w:hAnsi="Georgia" w:cs="Times New Roman"/>
          <w:sz w:val="20"/>
          <w:szCs w:val="20"/>
          <w:lang/>
        </w:rPr>
        <w:t>On the right is one of three figures from Harlow’s 1868 paper. The legend reads:</w:t>
      </w:r>
    </w:p>
    <w:p w:rsidR="00D6578F" w:rsidRPr="00D6578F" w:rsidRDefault="00D6578F" w:rsidP="00D6578F">
      <w:pPr>
        <w:spacing w:beforeAutospacing="1" w:after="100" w:afterAutospacing="1" w:line="240" w:lineRule="auto"/>
        <w:rPr>
          <w:rFonts w:ascii="Times New Roman" w:eastAsia="Times New Roman" w:hAnsi="Times New Roman" w:cs="Times New Roman"/>
          <w:sz w:val="24"/>
          <w:szCs w:val="24"/>
          <w:lang/>
        </w:rPr>
      </w:pPr>
      <w:r w:rsidRPr="00D6578F">
        <w:rPr>
          <w:rFonts w:ascii="Georgia" w:eastAsia="Times New Roman" w:hAnsi="Georgia" w:cs="Times New Roman"/>
          <w:sz w:val="20"/>
          <w:szCs w:val="20"/>
          <w:lang/>
        </w:rPr>
        <w:t>Front and lateral view of the cranium, representing the direction in which the iron traversed its cavity; the present appearance of the line of fracture, and also the large anterior fragment of the frontal bone, which was entirely detached, replaced and partially re-united.</w:t>
      </w:r>
    </w:p>
    <w:p w:rsidR="00D6578F" w:rsidRPr="00D6578F" w:rsidRDefault="00D6578F" w:rsidP="00D6578F">
      <w:pPr>
        <w:spacing w:before="100" w:beforeAutospacing="1" w:after="100" w:afterAutospacing="1" w:line="240" w:lineRule="auto"/>
        <w:rPr>
          <w:rFonts w:ascii="Times New Roman" w:eastAsia="Times New Roman" w:hAnsi="Times New Roman" w:cs="Times New Roman"/>
          <w:sz w:val="24"/>
          <w:szCs w:val="24"/>
          <w:lang/>
        </w:rPr>
      </w:pPr>
      <w:r w:rsidRPr="00D6578F">
        <w:rPr>
          <w:rFonts w:ascii="Georgia" w:eastAsia="Times New Roman" w:hAnsi="Georgia" w:cs="Times New Roman"/>
          <w:sz w:val="20"/>
          <w:szCs w:val="20"/>
          <w:lang/>
        </w:rPr>
        <w:t xml:space="preserve">Thus, the damage to Gage’s frontal cortex had resulted in a complete loss of social inhibitions, which often led to inappropriate </w:t>
      </w:r>
      <w:proofErr w:type="spellStart"/>
      <w:r w:rsidRPr="00D6578F">
        <w:rPr>
          <w:rFonts w:ascii="Georgia" w:eastAsia="Times New Roman" w:hAnsi="Georgia" w:cs="Times New Roman"/>
          <w:sz w:val="20"/>
          <w:szCs w:val="20"/>
          <w:lang/>
        </w:rPr>
        <w:t>behaviour</w:t>
      </w:r>
      <w:proofErr w:type="spellEnd"/>
      <w:r w:rsidRPr="00D6578F">
        <w:rPr>
          <w:rFonts w:ascii="Georgia" w:eastAsia="Times New Roman" w:hAnsi="Georgia" w:cs="Times New Roman"/>
          <w:sz w:val="20"/>
          <w:szCs w:val="20"/>
          <w:lang/>
        </w:rPr>
        <w:t>. In effect, the tamping iron had performed a frontal lobotomy on Gage, but the exact nature of the damage incurred to his brain has been a subject of debate ever since the accident occurred. This is because the damage can only be inferred from the path of the tamping iron through Gage’s skull, which in turn can only be inferred from the damage to the skull.</w:t>
      </w:r>
    </w:p>
    <w:p w:rsidR="00D6578F" w:rsidRPr="00D6578F" w:rsidRDefault="00D6578F" w:rsidP="00D6578F">
      <w:pPr>
        <w:spacing w:before="100" w:beforeAutospacing="1" w:after="100" w:afterAutospacing="1" w:line="240" w:lineRule="auto"/>
        <w:rPr>
          <w:rFonts w:ascii="Times New Roman" w:eastAsia="Times New Roman" w:hAnsi="Times New Roman" w:cs="Times New Roman"/>
          <w:sz w:val="24"/>
          <w:szCs w:val="24"/>
          <w:lang/>
        </w:rPr>
      </w:pPr>
      <w:r w:rsidRPr="00D6578F">
        <w:rPr>
          <w:rFonts w:ascii="Georgia" w:eastAsia="Times New Roman" w:hAnsi="Georgia" w:cs="Times New Roman"/>
          <w:sz w:val="20"/>
          <w:szCs w:val="20"/>
          <w:lang/>
        </w:rPr>
        <w:t xml:space="preserve">Gage’s skull was damaged in three places: there is a small wound under the left </w:t>
      </w:r>
      <w:proofErr w:type="spellStart"/>
      <w:r w:rsidRPr="00D6578F">
        <w:rPr>
          <w:rFonts w:ascii="Georgia" w:eastAsia="Times New Roman" w:hAnsi="Georgia" w:cs="Times New Roman"/>
          <w:sz w:val="20"/>
          <w:szCs w:val="20"/>
          <w:lang/>
        </w:rPr>
        <w:t>zygomatic</w:t>
      </w:r>
      <w:proofErr w:type="spellEnd"/>
      <w:r w:rsidRPr="00D6578F">
        <w:rPr>
          <w:rFonts w:ascii="Georgia" w:eastAsia="Times New Roman" w:hAnsi="Georgia" w:cs="Times New Roman"/>
          <w:sz w:val="20"/>
          <w:szCs w:val="20"/>
          <w:lang/>
        </w:rPr>
        <w:t xml:space="preserve"> arch (cheek bone) where the tamping iron entered; another is located in the orbital bone in the base of the skull behind the orbit of the eye; and the third, and largest, wound is in the top of the skull, where the tamping iron exited. The exit wound was enormous, and never healed. It can be seen today in Gage’s as an </w:t>
      </w:r>
      <w:r w:rsidRPr="00D6578F">
        <w:rPr>
          <w:rFonts w:ascii="Georgia" w:eastAsia="Times New Roman" w:hAnsi="Georgia" w:cs="Times New Roman"/>
          <w:sz w:val="20"/>
          <w:szCs w:val="20"/>
          <w:lang/>
        </w:rPr>
        <w:lastRenderedPageBreak/>
        <w:t>irregularly-shaped triangular hole, about 2 inches wide and 4 inches in circumference, and another, nearly 3 inches in circumference. These are separated by one of the flaps of skull that was replaced by Harlow upon arriving at Gage’s boarding house. Because the circumference of the wound in the frontal bone is much larger than the maximum diameter of the tamping iron, it is difficult to determine precisely the trajectory of the iron and where it exited Gage’s skull.</w:t>
      </w:r>
      <w:r w:rsidRPr="00D6578F">
        <w:rPr>
          <w:rFonts w:ascii="Georgia" w:eastAsia="Times New Roman" w:hAnsi="Georgia" w:cs="Times New Roman"/>
          <w:sz w:val="20"/>
          <w:szCs w:val="20"/>
          <w:lang/>
        </w:rPr>
        <w:br/>
      </w:r>
      <w:r w:rsidRPr="00D6578F">
        <w:rPr>
          <w:rFonts w:ascii="Georgia" w:eastAsia="Times New Roman" w:hAnsi="Georgia" w:cs="Times New Roman"/>
          <w:sz w:val="20"/>
          <w:szCs w:val="20"/>
          <w:lang/>
        </w:rPr>
        <w:br/>
        <w:t xml:space="preserve">In 1994, </w:t>
      </w:r>
      <w:hyperlink r:id="rId7" w:history="1">
        <w:r w:rsidRPr="00D6578F">
          <w:rPr>
            <w:rFonts w:ascii="Georgia" w:eastAsia="Times New Roman" w:hAnsi="Georgia" w:cs="Times New Roman"/>
            <w:color w:val="0000FF"/>
            <w:sz w:val="20"/>
            <w:u w:val="single"/>
            <w:lang/>
          </w:rPr>
          <w:t xml:space="preserve">Hannah </w:t>
        </w:r>
        <w:proofErr w:type="spellStart"/>
        <w:r w:rsidRPr="00D6578F">
          <w:rPr>
            <w:rFonts w:ascii="Georgia" w:eastAsia="Times New Roman" w:hAnsi="Georgia" w:cs="Times New Roman"/>
            <w:color w:val="0000FF"/>
            <w:sz w:val="20"/>
            <w:u w:val="single"/>
            <w:lang/>
          </w:rPr>
          <w:t>Damasio</w:t>
        </w:r>
        <w:proofErr w:type="spellEnd"/>
      </w:hyperlink>
      <w:r w:rsidRPr="00D6578F">
        <w:rPr>
          <w:rFonts w:ascii="Georgia" w:eastAsia="Times New Roman" w:hAnsi="Georgia" w:cs="Times New Roman"/>
          <w:sz w:val="20"/>
          <w:szCs w:val="20"/>
          <w:lang/>
        </w:rPr>
        <w:t xml:space="preserve"> and her colleagues at the University of</w:t>
      </w:r>
      <w:r w:rsidR="009A42FB">
        <w:rPr>
          <w:rFonts w:ascii="Georgia" w:eastAsia="Times New Roman" w:hAnsi="Georgia" w:cs="Times New Roman"/>
          <w:sz w:val="20"/>
          <w:szCs w:val="20"/>
          <w:lang/>
        </w:rPr>
        <w:t xml:space="preserve"> Iowa used </w:t>
      </w:r>
      <w:proofErr w:type="spellStart"/>
      <w:r w:rsidR="009A42FB">
        <w:rPr>
          <w:rFonts w:ascii="Georgia" w:eastAsia="Times New Roman" w:hAnsi="Georgia" w:cs="Times New Roman"/>
          <w:sz w:val="20"/>
          <w:szCs w:val="20"/>
          <w:lang/>
        </w:rPr>
        <w:t>neu</w:t>
      </w:r>
      <w:r w:rsidRPr="00D6578F">
        <w:rPr>
          <w:rFonts w:ascii="Georgia" w:eastAsia="Times New Roman" w:hAnsi="Georgia" w:cs="Times New Roman"/>
          <w:sz w:val="20"/>
          <w:szCs w:val="20"/>
          <w:lang/>
        </w:rPr>
        <w:t>ro</w:t>
      </w:r>
      <w:proofErr w:type="spellEnd"/>
      <w:r w:rsidR="009A42FB">
        <w:rPr>
          <w:rFonts w:ascii="Georgia" w:eastAsia="Times New Roman" w:hAnsi="Georgia" w:cs="Times New Roman"/>
          <w:sz w:val="20"/>
          <w:szCs w:val="20"/>
          <w:lang/>
        </w:rPr>
        <w:t>-</w:t>
      </w:r>
      <w:r w:rsidRPr="00D6578F">
        <w:rPr>
          <w:rFonts w:ascii="Georgia" w:eastAsia="Times New Roman" w:hAnsi="Georgia" w:cs="Times New Roman"/>
          <w:sz w:val="20"/>
          <w:szCs w:val="20"/>
          <w:lang/>
        </w:rPr>
        <w:t xml:space="preserve">imaging techniques to reconstruct Gage’s skull. The conclusion of this study was that Gage incurred damage to both the left and right prefrontal cortices. But according to computer-generated three-dimensional reconstructions of a thin slice computed tomography scan of Gage’s skull performed by </w:t>
      </w:r>
      <w:hyperlink r:id="rId8" w:history="1">
        <w:proofErr w:type="spellStart"/>
        <w:r w:rsidRPr="00D6578F">
          <w:rPr>
            <w:rFonts w:ascii="Georgia" w:eastAsia="Times New Roman" w:hAnsi="Georgia" w:cs="Times New Roman"/>
            <w:color w:val="0000FF"/>
            <w:sz w:val="20"/>
            <w:u w:val="single"/>
            <w:lang/>
          </w:rPr>
          <w:t>Liebert</w:t>
        </w:r>
        <w:proofErr w:type="spellEnd"/>
        <w:r w:rsidRPr="00D6578F">
          <w:rPr>
            <w:rFonts w:ascii="Georgia" w:eastAsia="Times New Roman" w:hAnsi="Georgia" w:cs="Times New Roman"/>
            <w:color w:val="0000FF"/>
            <w:sz w:val="20"/>
            <w:u w:val="single"/>
            <w:lang/>
          </w:rPr>
          <w:t xml:space="preserve"> </w:t>
        </w:r>
        <w:r w:rsidRPr="00D6578F">
          <w:rPr>
            <w:rFonts w:ascii="Georgia" w:eastAsia="Times New Roman" w:hAnsi="Georgia" w:cs="Times New Roman"/>
            <w:i/>
            <w:iCs/>
            <w:color w:val="0000FF"/>
            <w:sz w:val="20"/>
            <w:u w:val="single"/>
            <w:lang/>
          </w:rPr>
          <w:t>et al</w:t>
        </w:r>
      </w:hyperlink>
      <w:r w:rsidRPr="00D6578F">
        <w:rPr>
          <w:rFonts w:ascii="Georgia" w:eastAsia="Times New Roman" w:hAnsi="Georgia" w:cs="Times New Roman"/>
          <w:sz w:val="20"/>
          <w:szCs w:val="20"/>
          <w:lang/>
        </w:rPr>
        <w:t xml:space="preserve"> (see image and film clip above)</w:t>
      </w:r>
      <w:proofErr w:type="gramStart"/>
      <w:r w:rsidRPr="00D6578F">
        <w:rPr>
          <w:rFonts w:ascii="Georgia" w:eastAsia="Times New Roman" w:hAnsi="Georgia" w:cs="Times New Roman"/>
          <w:sz w:val="20"/>
          <w:szCs w:val="20"/>
          <w:lang/>
        </w:rPr>
        <w:t>,</w:t>
      </w:r>
      <w:proofErr w:type="gramEnd"/>
      <w:r w:rsidRPr="00D6578F">
        <w:rPr>
          <w:rFonts w:ascii="Georgia" w:eastAsia="Times New Roman" w:hAnsi="Georgia" w:cs="Times New Roman"/>
          <w:sz w:val="20"/>
          <w:szCs w:val="20"/>
          <w:lang/>
        </w:rPr>
        <w:t xml:space="preserve"> the damage to Gage’s brain was limited to the left hemisphere.</w:t>
      </w:r>
    </w:p>
    <w:p w:rsidR="00D6578F" w:rsidRPr="00D6578F" w:rsidRDefault="00D6578F" w:rsidP="00D6578F">
      <w:pPr>
        <w:spacing w:before="100" w:beforeAutospacing="1" w:after="100" w:afterAutospacing="1" w:line="240" w:lineRule="auto"/>
        <w:rPr>
          <w:rFonts w:ascii="Times New Roman" w:eastAsia="Times New Roman" w:hAnsi="Times New Roman" w:cs="Times New Roman"/>
          <w:sz w:val="24"/>
          <w:szCs w:val="24"/>
          <w:lang/>
        </w:rPr>
      </w:pPr>
      <w:r w:rsidRPr="00D6578F">
        <w:rPr>
          <w:rFonts w:ascii="Georgia" w:eastAsia="Times New Roman" w:hAnsi="Georgia" w:cs="Times New Roman"/>
          <w:sz w:val="20"/>
          <w:szCs w:val="20"/>
          <w:lang/>
        </w:rPr>
        <w:t xml:space="preserve">Nevertheless, the case of </w:t>
      </w:r>
      <w:proofErr w:type="spellStart"/>
      <w:r w:rsidRPr="00D6578F">
        <w:rPr>
          <w:rFonts w:ascii="Georgia" w:eastAsia="Times New Roman" w:hAnsi="Georgia" w:cs="Times New Roman"/>
          <w:sz w:val="20"/>
          <w:szCs w:val="20"/>
          <w:lang/>
        </w:rPr>
        <w:t>Phineas</w:t>
      </w:r>
      <w:proofErr w:type="spellEnd"/>
      <w:r w:rsidRPr="00D6578F">
        <w:rPr>
          <w:rFonts w:ascii="Georgia" w:eastAsia="Times New Roman" w:hAnsi="Georgia" w:cs="Times New Roman"/>
          <w:sz w:val="20"/>
          <w:szCs w:val="20"/>
          <w:lang/>
        </w:rPr>
        <w:t xml:space="preserve"> Gage made important contributions to early modern neurology. The opposition to Harlow’s 1848 report was due in no small part to the popularity of phrenology at that time. The publication of Harlow’s 1868 report of Gage’s personality changes was significant, as it coincided with reports from other neurologists of the effects</w:t>
      </w:r>
      <w:r w:rsidR="009A42FB">
        <w:rPr>
          <w:rFonts w:ascii="Georgia" w:eastAsia="Times New Roman" w:hAnsi="Georgia" w:cs="Times New Roman"/>
          <w:sz w:val="20"/>
          <w:szCs w:val="20"/>
          <w:lang/>
        </w:rPr>
        <w:t xml:space="preserve"> of specific lesions on behavio</w:t>
      </w:r>
      <w:r w:rsidRPr="00D6578F">
        <w:rPr>
          <w:rFonts w:ascii="Georgia" w:eastAsia="Times New Roman" w:hAnsi="Georgia" w:cs="Times New Roman"/>
          <w:sz w:val="20"/>
          <w:szCs w:val="20"/>
          <w:lang/>
        </w:rPr>
        <w:t xml:space="preserve">r. </w:t>
      </w:r>
    </w:p>
    <w:p w:rsidR="00D6578F" w:rsidRPr="00D6578F" w:rsidRDefault="00D6578F" w:rsidP="00D6578F">
      <w:pPr>
        <w:spacing w:before="100" w:beforeAutospacing="1" w:after="100" w:afterAutospacing="1" w:line="240" w:lineRule="auto"/>
        <w:rPr>
          <w:rFonts w:ascii="Times New Roman" w:eastAsia="Times New Roman" w:hAnsi="Times New Roman" w:cs="Times New Roman"/>
          <w:sz w:val="24"/>
          <w:szCs w:val="24"/>
          <w:lang/>
        </w:rPr>
      </w:pPr>
      <w:r w:rsidRPr="00D6578F">
        <w:rPr>
          <w:rFonts w:ascii="Georgia" w:eastAsia="Times New Roman" w:hAnsi="Georgia" w:cs="Times New Roman"/>
          <w:sz w:val="20"/>
          <w:szCs w:val="20"/>
          <w:lang/>
        </w:rPr>
        <w:t xml:space="preserve">This was a time when the death throes of </w:t>
      </w:r>
      <w:hyperlink r:id="rId9" w:history="1">
        <w:r w:rsidRPr="00D6578F">
          <w:rPr>
            <w:rFonts w:ascii="Georgia" w:eastAsia="Times New Roman" w:hAnsi="Georgia" w:cs="Times New Roman"/>
            <w:color w:val="0000FF"/>
            <w:sz w:val="20"/>
            <w:u w:val="single"/>
            <w:lang/>
          </w:rPr>
          <w:t>phrenology</w:t>
        </w:r>
      </w:hyperlink>
      <w:r w:rsidRPr="00D6578F">
        <w:rPr>
          <w:rFonts w:ascii="Georgia" w:eastAsia="Times New Roman" w:hAnsi="Georgia" w:cs="Times New Roman"/>
          <w:sz w:val="20"/>
          <w:szCs w:val="20"/>
          <w:lang/>
        </w:rPr>
        <w:t xml:space="preserve"> overlapped with the birth of modern neuropsychology. In 1865, Paul </w:t>
      </w:r>
      <w:proofErr w:type="spellStart"/>
      <w:r w:rsidRPr="00D6578F">
        <w:rPr>
          <w:rFonts w:ascii="Georgia" w:eastAsia="Times New Roman" w:hAnsi="Georgia" w:cs="Times New Roman"/>
          <w:sz w:val="20"/>
          <w:szCs w:val="20"/>
          <w:lang/>
        </w:rPr>
        <w:t>Broca</w:t>
      </w:r>
      <w:proofErr w:type="spellEnd"/>
      <w:r w:rsidRPr="00D6578F">
        <w:rPr>
          <w:rFonts w:ascii="Georgia" w:eastAsia="Times New Roman" w:hAnsi="Georgia" w:cs="Times New Roman"/>
          <w:sz w:val="20"/>
          <w:szCs w:val="20"/>
          <w:lang/>
        </w:rPr>
        <w:t xml:space="preserve"> (1824-1880) described </w:t>
      </w:r>
      <w:hyperlink r:id="rId10" w:history="1">
        <w:r w:rsidRPr="00D6578F">
          <w:rPr>
            <w:rFonts w:ascii="Georgia" w:eastAsia="Times New Roman" w:hAnsi="Georgia" w:cs="Times New Roman"/>
            <w:color w:val="0000FF"/>
            <w:sz w:val="20"/>
            <w:u w:val="single"/>
            <w:lang/>
          </w:rPr>
          <w:t>the speech centre in the left hemisphere</w:t>
        </w:r>
      </w:hyperlink>
      <w:r w:rsidRPr="00D6578F">
        <w:rPr>
          <w:rFonts w:ascii="Georgia" w:eastAsia="Times New Roman" w:hAnsi="Georgia" w:cs="Times New Roman"/>
          <w:sz w:val="20"/>
          <w:szCs w:val="20"/>
          <w:lang/>
        </w:rPr>
        <w:t xml:space="preserve"> of right-handed people; that brain region, in the inferior frontal </w:t>
      </w:r>
      <w:proofErr w:type="spellStart"/>
      <w:r w:rsidRPr="00D6578F">
        <w:rPr>
          <w:rFonts w:ascii="Georgia" w:eastAsia="Times New Roman" w:hAnsi="Georgia" w:cs="Times New Roman"/>
          <w:sz w:val="20"/>
          <w:szCs w:val="20"/>
          <w:lang/>
        </w:rPr>
        <w:t>gyrus</w:t>
      </w:r>
      <w:proofErr w:type="spellEnd"/>
      <w:r w:rsidRPr="00D6578F">
        <w:rPr>
          <w:rFonts w:ascii="Georgia" w:eastAsia="Times New Roman" w:hAnsi="Georgia" w:cs="Times New Roman"/>
          <w:sz w:val="20"/>
          <w:szCs w:val="20"/>
          <w:lang/>
        </w:rPr>
        <w:t xml:space="preserve">, is now known as </w:t>
      </w:r>
      <w:proofErr w:type="spellStart"/>
      <w:r w:rsidRPr="00D6578F">
        <w:rPr>
          <w:rFonts w:ascii="Georgia" w:eastAsia="Times New Roman" w:hAnsi="Georgia" w:cs="Times New Roman"/>
          <w:sz w:val="20"/>
          <w:szCs w:val="20"/>
          <w:lang/>
        </w:rPr>
        <w:t>Broca’s</w:t>
      </w:r>
      <w:proofErr w:type="spellEnd"/>
      <w:r w:rsidRPr="00D6578F">
        <w:rPr>
          <w:rFonts w:ascii="Georgia" w:eastAsia="Times New Roman" w:hAnsi="Georgia" w:cs="Times New Roman"/>
          <w:sz w:val="20"/>
          <w:szCs w:val="20"/>
          <w:lang/>
        </w:rPr>
        <w:t xml:space="preserve"> area. Also in the 1860s, John </w:t>
      </w:r>
      <w:proofErr w:type="spellStart"/>
      <w:r w:rsidRPr="00D6578F">
        <w:rPr>
          <w:rFonts w:ascii="Georgia" w:eastAsia="Times New Roman" w:hAnsi="Georgia" w:cs="Times New Roman"/>
          <w:sz w:val="20"/>
          <w:szCs w:val="20"/>
          <w:lang/>
        </w:rPr>
        <w:t>Hughlings</w:t>
      </w:r>
      <w:proofErr w:type="spellEnd"/>
      <w:r w:rsidRPr="00D6578F">
        <w:rPr>
          <w:rFonts w:ascii="Georgia" w:eastAsia="Times New Roman" w:hAnsi="Georgia" w:cs="Times New Roman"/>
          <w:sz w:val="20"/>
          <w:szCs w:val="20"/>
          <w:lang/>
        </w:rPr>
        <w:t xml:space="preserve">-Jackson (1835-1911) and David Ferrier carried out (1843-1928) physiological studies which pointed to the </w:t>
      </w:r>
      <w:hyperlink r:id="rId11" w:history="1">
        <w:r w:rsidRPr="00D6578F">
          <w:rPr>
            <w:rFonts w:ascii="Georgia" w:eastAsia="Times New Roman" w:hAnsi="Georgia" w:cs="Times New Roman"/>
            <w:color w:val="0000FF"/>
            <w:sz w:val="20"/>
            <w:u w:val="single"/>
            <w:lang/>
          </w:rPr>
          <w:t>localization of cerebral function</w:t>
        </w:r>
      </w:hyperlink>
      <w:r w:rsidRPr="00D6578F">
        <w:rPr>
          <w:rFonts w:ascii="Georgia" w:eastAsia="Times New Roman" w:hAnsi="Georgia" w:cs="Times New Roman"/>
          <w:sz w:val="20"/>
          <w:szCs w:val="20"/>
          <w:lang/>
        </w:rPr>
        <w:t xml:space="preserve">. </w:t>
      </w:r>
    </w:p>
    <w:p w:rsidR="00D6578F" w:rsidRPr="00D6578F" w:rsidRDefault="00D6578F" w:rsidP="00D6578F">
      <w:pPr>
        <w:spacing w:before="100" w:beforeAutospacing="1" w:after="100" w:afterAutospacing="1" w:line="240" w:lineRule="auto"/>
        <w:rPr>
          <w:rFonts w:ascii="Times New Roman" w:eastAsia="Times New Roman" w:hAnsi="Times New Roman" w:cs="Times New Roman"/>
          <w:sz w:val="24"/>
          <w:szCs w:val="24"/>
          <w:lang/>
        </w:rPr>
      </w:pPr>
      <w:r w:rsidRPr="00D6578F">
        <w:rPr>
          <w:rFonts w:ascii="Georgia" w:eastAsia="Times New Roman" w:hAnsi="Georgia" w:cs="Times New Roman"/>
          <w:sz w:val="20"/>
          <w:szCs w:val="20"/>
          <w:lang/>
        </w:rPr>
        <w:t xml:space="preserve">Jackson had been the first to hypothesize </w:t>
      </w:r>
      <w:proofErr w:type="gramStart"/>
      <w:r w:rsidRPr="00D6578F">
        <w:rPr>
          <w:rFonts w:ascii="Georgia" w:eastAsia="Times New Roman" w:hAnsi="Georgia" w:cs="Times New Roman"/>
          <w:sz w:val="20"/>
          <w:szCs w:val="20"/>
          <w:lang/>
        </w:rPr>
        <w:t>that psychopathological conditions</w:t>
      </w:r>
      <w:proofErr w:type="gramEnd"/>
      <w:r w:rsidRPr="00D6578F">
        <w:rPr>
          <w:rFonts w:ascii="Georgia" w:eastAsia="Times New Roman" w:hAnsi="Georgia" w:cs="Times New Roman"/>
          <w:sz w:val="20"/>
          <w:szCs w:val="20"/>
          <w:lang/>
        </w:rPr>
        <w:t xml:space="preserve"> could be correlated to brain damage. He also </w:t>
      </w:r>
      <w:hyperlink r:id="rId12" w:history="1">
        <w:r w:rsidRPr="00D6578F">
          <w:rPr>
            <w:rFonts w:ascii="Georgia" w:eastAsia="Times New Roman" w:hAnsi="Georgia" w:cs="Times New Roman"/>
            <w:color w:val="0000FF"/>
            <w:sz w:val="20"/>
            <w:u w:val="single"/>
            <w:lang/>
          </w:rPr>
          <w:t>localized the auditory cortex</w:t>
        </w:r>
      </w:hyperlink>
      <w:r w:rsidRPr="00D6578F">
        <w:rPr>
          <w:rFonts w:ascii="Georgia" w:eastAsia="Times New Roman" w:hAnsi="Georgia" w:cs="Times New Roman"/>
          <w:sz w:val="20"/>
          <w:szCs w:val="20"/>
          <w:lang/>
        </w:rPr>
        <w:t xml:space="preserve"> and in 1864, confirmed </w:t>
      </w:r>
      <w:proofErr w:type="spellStart"/>
      <w:r w:rsidRPr="00D6578F">
        <w:rPr>
          <w:rFonts w:ascii="Georgia" w:eastAsia="Times New Roman" w:hAnsi="Georgia" w:cs="Times New Roman"/>
          <w:sz w:val="20"/>
          <w:szCs w:val="20"/>
          <w:lang/>
        </w:rPr>
        <w:t>Broca’s</w:t>
      </w:r>
      <w:proofErr w:type="spellEnd"/>
      <w:r w:rsidRPr="00D6578F">
        <w:rPr>
          <w:rFonts w:ascii="Georgia" w:eastAsia="Times New Roman" w:hAnsi="Georgia" w:cs="Times New Roman"/>
          <w:sz w:val="20"/>
          <w:szCs w:val="20"/>
          <w:lang/>
        </w:rPr>
        <w:t xml:space="preserve"> findings that, in right-handed people, speech was localized to a specific area of the left temporal lobe. Ferrier, an early proponent of the localization of cerebral function, used Gage’s case as the highlight of his famous </w:t>
      </w:r>
      <w:proofErr w:type="spellStart"/>
      <w:r w:rsidRPr="00D6578F">
        <w:rPr>
          <w:rFonts w:ascii="Georgia" w:eastAsia="Times New Roman" w:hAnsi="Georgia" w:cs="Times New Roman"/>
          <w:sz w:val="20"/>
          <w:szCs w:val="20"/>
          <w:lang/>
        </w:rPr>
        <w:t>Goulstonian</w:t>
      </w:r>
      <w:proofErr w:type="spellEnd"/>
      <w:r w:rsidRPr="00D6578F">
        <w:rPr>
          <w:rFonts w:ascii="Georgia" w:eastAsia="Times New Roman" w:hAnsi="Georgia" w:cs="Times New Roman"/>
          <w:sz w:val="20"/>
          <w:szCs w:val="20"/>
          <w:lang/>
        </w:rPr>
        <w:t xml:space="preserve"> lecture in 1878. In the same lecture, he also described experiments on monkeys, which led him to the conclusion that:</w:t>
      </w:r>
    </w:p>
    <w:p w:rsidR="00D6578F" w:rsidRPr="00D6578F" w:rsidRDefault="00D6578F" w:rsidP="00D6578F">
      <w:pPr>
        <w:spacing w:beforeAutospacing="1" w:after="100" w:afterAutospacing="1" w:line="240" w:lineRule="auto"/>
        <w:rPr>
          <w:rFonts w:ascii="Times New Roman" w:eastAsia="Times New Roman" w:hAnsi="Times New Roman" w:cs="Times New Roman"/>
          <w:sz w:val="24"/>
          <w:szCs w:val="24"/>
          <w:lang/>
        </w:rPr>
      </w:pPr>
      <w:r w:rsidRPr="00D6578F">
        <w:rPr>
          <w:rFonts w:ascii="Georgia" w:eastAsia="Times New Roman" w:hAnsi="Georgia" w:cs="Times New Roman"/>
          <w:sz w:val="20"/>
          <w:szCs w:val="20"/>
          <w:lang/>
        </w:rPr>
        <w:t xml:space="preserve">There are certain regions in the cortex to which definite functions can be assigned; and that the phenomena of cortical lesions will vary according to their seat and also to their character…removal or destruction…of the </w:t>
      </w:r>
      <w:proofErr w:type="spellStart"/>
      <w:r w:rsidRPr="00D6578F">
        <w:rPr>
          <w:rFonts w:ascii="Georgia" w:eastAsia="Times New Roman" w:hAnsi="Georgia" w:cs="Times New Roman"/>
          <w:sz w:val="20"/>
          <w:szCs w:val="20"/>
          <w:lang/>
        </w:rPr>
        <w:t>antero</w:t>
      </w:r>
      <w:proofErr w:type="spellEnd"/>
      <w:r w:rsidRPr="00D6578F">
        <w:rPr>
          <w:rFonts w:ascii="Georgia" w:eastAsia="Times New Roman" w:hAnsi="Georgia" w:cs="Times New Roman"/>
          <w:sz w:val="20"/>
          <w:szCs w:val="20"/>
          <w:lang/>
        </w:rPr>
        <w:t>-frontal lobes is not followed by any definite physiological results…And yet, notwithstanding this apparent absence of physiological symptoms, I could perceive a very decided alteration in the</w:t>
      </w:r>
      <w:r w:rsidR="009A42FB">
        <w:rPr>
          <w:rFonts w:ascii="Georgia" w:eastAsia="Times New Roman" w:hAnsi="Georgia" w:cs="Times New Roman"/>
          <w:sz w:val="20"/>
          <w:szCs w:val="20"/>
          <w:lang/>
        </w:rPr>
        <w:t xml:space="preserve"> animal’s character and behavio</w:t>
      </w:r>
      <w:r w:rsidRPr="00D6578F">
        <w:rPr>
          <w:rFonts w:ascii="Georgia" w:eastAsia="Times New Roman" w:hAnsi="Georgia" w:cs="Times New Roman"/>
          <w:sz w:val="20"/>
          <w:szCs w:val="20"/>
          <w:lang/>
        </w:rPr>
        <w:t>r, while it is difficult to state in precise terms the nature of the change…while not actually deprived of intelligence, they had lost, to all appearance, the faculty of the attentive and intelligent observation [Regarding the trajectory of the tamping iron through Gage's brain]…the absence of paralysis in this case is quite in harmony with the results of experimental physiology.</w:t>
      </w:r>
    </w:p>
    <w:p w:rsidR="00D6578F" w:rsidRPr="00D6578F" w:rsidRDefault="00D6578F" w:rsidP="00D6578F">
      <w:pPr>
        <w:spacing w:before="100" w:beforeAutospacing="1" w:after="100" w:afterAutospacing="1" w:line="240" w:lineRule="auto"/>
        <w:rPr>
          <w:rFonts w:ascii="Times New Roman" w:eastAsia="Times New Roman" w:hAnsi="Times New Roman" w:cs="Times New Roman"/>
          <w:sz w:val="24"/>
          <w:szCs w:val="24"/>
          <w:lang/>
        </w:rPr>
      </w:pP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952750" cy="4572000"/>
            <wp:effectExtent l="19050" t="0" r="0" b="0"/>
            <wp:wrapSquare wrapText="bothSides"/>
            <wp:docPr id="5" name="Picture 5" descr="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titled.JPG"/>
                    <pic:cNvPicPr>
                      <a:picLocks noChangeAspect="1" noChangeArrowheads="1"/>
                    </pic:cNvPicPr>
                  </pic:nvPicPr>
                  <pic:blipFill>
                    <a:blip r:embed="rId13"/>
                    <a:srcRect/>
                    <a:stretch>
                      <a:fillRect/>
                    </a:stretch>
                  </pic:blipFill>
                  <pic:spPr bwMode="auto">
                    <a:xfrm>
                      <a:off x="0" y="0"/>
                      <a:ext cx="2952750" cy="4572000"/>
                    </a:xfrm>
                    <a:prstGeom prst="rect">
                      <a:avLst/>
                    </a:prstGeom>
                    <a:noFill/>
                    <a:ln w="9525">
                      <a:noFill/>
                      <a:miter lim="800000"/>
                      <a:headEnd/>
                      <a:tailEnd/>
                    </a:ln>
                  </pic:spPr>
                </pic:pic>
              </a:graphicData>
            </a:graphic>
          </wp:anchor>
        </w:drawing>
      </w:r>
      <w:r w:rsidRPr="00D6578F">
        <w:rPr>
          <w:rFonts w:ascii="Georgia" w:eastAsia="Times New Roman" w:hAnsi="Georgia" w:cs="Times New Roman"/>
          <w:sz w:val="20"/>
          <w:szCs w:val="20"/>
          <w:lang/>
        </w:rPr>
        <w:t xml:space="preserve">Gage’s case, therefore, had confirmed Ferrier’s findings that damage to the prefrontal cortex could result in personality changes while leaving other neurological functions intact. Gage’s case is one of the very first which provides evidence that the frontal cortex is involved in personality. Today, the role of frontal cortex in social cognition and </w:t>
      </w:r>
      <w:r w:rsidRPr="00D6578F">
        <w:rPr>
          <w:rFonts w:ascii="Georgia" w:eastAsia="Times New Roman" w:hAnsi="Georgia" w:cs="Times New Roman"/>
          <w:sz w:val="20"/>
          <w:szCs w:val="20"/>
          <w:lang/>
        </w:rPr>
        <w:lastRenderedPageBreak/>
        <w:t>executive function is relatively well established; however, this area of research is yet to blossom, and neuroscientists know little more about the relationship between the mind and the brain than did the early neurologists of the 19th century.</w:t>
      </w:r>
    </w:p>
    <w:p w:rsidR="00D6578F" w:rsidRPr="00D6578F" w:rsidRDefault="00D6578F" w:rsidP="00D6578F">
      <w:pPr>
        <w:spacing w:before="100" w:beforeAutospacing="1" w:after="100" w:afterAutospacing="1" w:line="240" w:lineRule="auto"/>
        <w:rPr>
          <w:rFonts w:ascii="Times New Roman" w:eastAsia="Times New Roman" w:hAnsi="Times New Roman" w:cs="Times New Roman"/>
          <w:sz w:val="24"/>
          <w:szCs w:val="24"/>
          <w:lang/>
        </w:rPr>
      </w:pPr>
      <w:r w:rsidRPr="00D6578F">
        <w:rPr>
          <w:rFonts w:ascii="Georgia" w:eastAsia="Times New Roman" w:hAnsi="Georgia" w:cs="Times New Roman"/>
          <w:sz w:val="20"/>
          <w:szCs w:val="20"/>
          <w:lang/>
        </w:rPr>
        <w:t xml:space="preserve">So, what of </w:t>
      </w:r>
      <w:proofErr w:type="spellStart"/>
      <w:r w:rsidRPr="00D6578F">
        <w:rPr>
          <w:rFonts w:ascii="Georgia" w:eastAsia="Times New Roman" w:hAnsi="Georgia" w:cs="Times New Roman"/>
          <w:sz w:val="20"/>
          <w:szCs w:val="20"/>
          <w:lang/>
        </w:rPr>
        <w:t>Phineas</w:t>
      </w:r>
      <w:proofErr w:type="spellEnd"/>
      <w:r w:rsidRPr="00D6578F">
        <w:rPr>
          <w:rFonts w:ascii="Georgia" w:eastAsia="Times New Roman" w:hAnsi="Georgia" w:cs="Times New Roman"/>
          <w:sz w:val="20"/>
          <w:szCs w:val="20"/>
          <w:lang/>
        </w:rPr>
        <w:t xml:space="preserve"> Gage himself? Unable to return to his previous job as a foreman after his accident, Gage is said to have travelled around New England, and even to Europe, with his tamping iron trying to earn money. It is also said that he even displayed himself as a curiosity at Barnum’s Circus in New York. However, the story of </w:t>
      </w:r>
      <w:proofErr w:type="spellStart"/>
      <w:r w:rsidRPr="00D6578F">
        <w:rPr>
          <w:rFonts w:ascii="Georgia" w:eastAsia="Times New Roman" w:hAnsi="Georgia" w:cs="Times New Roman"/>
          <w:sz w:val="20"/>
          <w:szCs w:val="20"/>
          <w:lang/>
        </w:rPr>
        <w:t>Phineas</w:t>
      </w:r>
      <w:proofErr w:type="spellEnd"/>
      <w:r w:rsidRPr="00D6578F">
        <w:rPr>
          <w:rFonts w:ascii="Georgia" w:eastAsia="Times New Roman" w:hAnsi="Georgia" w:cs="Times New Roman"/>
          <w:sz w:val="20"/>
          <w:szCs w:val="20"/>
          <w:lang/>
        </w:rPr>
        <w:t xml:space="preserve"> Gage is as much folklore as it is fact. Not only the exact nature of the neurological damage Gage sustained, but also the details of his life after the accident, are disputed to this day. </w:t>
      </w:r>
    </w:p>
    <w:p w:rsidR="00D6578F" w:rsidRPr="00D6578F" w:rsidRDefault="00D6578F" w:rsidP="00D6578F">
      <w:pPr>
        <w:spacing w:before="100" w:beforeAutospacing="1" w:after="100" w:afterAutospacing="1" w:line="240" w:lineRule="auto"/>
        <w:rPr>
          <w:rFonts w:ascii="Times New Roman" w:eastAsia="Times New Roman" w:hAnsi="Times New Roman" w:cs="Times New Roman"/>
          <w:sz w:val="24"/>
          <w:szCs w:val="24"/>
          <w:lang/>
        </w:rPr>
      </w:pPr>
      <w:r w:rsidRPr="00D6578F">
        <w:rPr>
          <w:rFonts w:ascii="Georgia" w:eastAsia="Times New Roman" w:hAnsi="Georgia" w:cs="Times New Roman"/>
          <w:sz w:val="20"/>
          <w:szCs w:val="20"/>
          <w:lang/>
        </w:rPr>
        <w:t xml:space="preserve">It is known that, from 1851 until just before his death, Gage worked as a coach driver, first in a livery stable at the Dartmouth Inn, in Hanover, New Hampshire, for about 18 months, and then in Chile for some 7 years. At some point in 1859, with his health deteriorating, Gage went to live with his mother. He died in San Francisco on 20th May, 1860, some 13 years after his accident, of complications arising as a result of epileptic convulsions. An autopsy on Gage’s brain was not conducted. </w:t>
      </w:r>
    </w:p>
    <w:p w:rsidR="00D6578F" w:rsidRDefault="00D6578F" w:rsidP="00D6578F">
      <w:pPr>
        <w:spacing w:before="100" w:beforeAutospacing="1" w:after="100" w:afterAutospacing="1" w:line="240" w:lineRule="auto"/>
        <w:rPr>
          <w:rFonts w:ascii="Georgia" w:eastAsia="Times New Roman" w:hAnsi="Georgia" w:cs="Times New Roman"/>
          <w:sz w:val="20"/>
          <w:szCs w:val="20"/>
          <w:lang/>
        </w:rPr>
      </w:pPr>
      <w:r w:rsidRPr="00D6578F">
        <w:rPr>
          <w:rFonts w:ascii="Georgia" w:eastAsia="Times New Roman" w:hAnsi="Georgia" w:cs="Times New Roman"/>
          <w:sz w:val="20"/>
          <w:szCs w:val="20"/>
          <w:lang/>
        </w:rPr>
        <w:t xml:space="preserve">In 1867, Gage’s body was exhumed from its burial place in San Francisco’s Lone Mountain Cemetery. Gage’s brother-in-law took the skull and the tamping iron to Dr. Harlow, who was then living in Woburn, Massachusetts. They are now housed in the </w:t>
      </w:r>
      <w:hyperlink r:id="rId14" w:history="1">
        <w:r w:rsidRPr="00D6578F">
          <w:rPr>
            <w:rFonts w:ascii="Georgia" w:eastAsia="Times New Roman" w:hAnsi="Georgia" w:cs="Times New Roman"/>
            <w:color w:val="0000FF"/>
            <w:sz w:val="20"/>
            <w:u w:val="single"/>
            <w:lang/>
          </w:rPr>
          <w:t>Warren Anatomical Museum</w:t>
        </w:r>
      </w:hyperlink>
      <w:r w:rsidRPr="00D6578F">
        <w:rPr>
          <w:rFonts w:ascii="Georgia" w:eastAsia="Times New Roman" w:hAnsi="Georgia" w:cs="Times New Roman"/>
          <w:sz w:val="20"/>
          <w:szCs w:val="20"/>
          <w:lang/>
        </w:rPr>
        <w:t xml:space="preserve"> at Harvard University School of Medicine.</w:t>
      </w:r>
    </w:p>
    <w:p w:rsidR="00EF57B5" w:rsidRDefault="00EF57B5" w:rsidP="00D6578F">
      <w:pPr>
        <w:spacing w:before="100" w:beforeAutospacing="1" w:after="100" w:afterAutospacing="1" w:line="240" w:lineRule="auto"/>
        <w:rPr>
          <w:rFonts w:ascii="Georgia" w:eastAsia="Times New Roman" w:hAnsi="Georgia" w:cs="Times New Roman"/>
          <w:sz w:val="20"/>
          <w:szCs w:val="20"/>
          <w:lang/>
        </w:rPr>
      </w:pPr>
    </w:p>
    <w:p w:rsidR="00EF57B5" w:rsidRPr="00EF57B5" w:rsidRDefault="00EF57B5" w:rsidP="00D6578F">
      <w:pPr>
        <w:spacing w:before="100" w:beforeAutospacing="1" w:after="100" w:afterAutospacing="1" w:line="240" w:lineRule="auto"/>
        <w:rPr>
          <w:rFonts w:ascii="Georgia" w:eastAsia="Times New Roman" w:hAnsi="Georgia" w:cs="Times New Roman"/>
          <w:sz w:val="20"/>
          <w:szCs w:val="20"/>
          <w:u w:val="single"/>
          <w:lang/>
        </w:rPr>
      </w:pPr>
    </w:p>
    <w:p w:rsidR="00EF57B5" w:rsidRPr="00D6578F" w:rsidRDefault="00EF57B5" w:rsidP="00D6578F">
      <w:pPr>
        <w:spacing w:before="100" w:beforeAutospacing="1" w:after="100" w:afterAutospacing="1" w:line="240" w:lineRule="auto"/>
        <w:rPr>
          <w:rFonts w:ascii="Times New Roman" w:eastAsia="Times New Roman" w:hAnsi="Times New Roman" w:cs="Times New Roman"/>
          <w:sz w:val="24"/>
          <w:szCs w:val="24"/>
          <w:u w:val="single"/>
          <w:lang/>
        </w:rPr>
      </w:pPr>
      <w:r w:rsidRPr="00EF57B5">
        <w:rPr>
          <w:rFonts w:ascii="Times New Roman" w:eastAsia="Times New Roman" w:hAnsi="Times New Roman" w:cs="Times New Roman"/>
          <w:sz w:val="24"/>
          <w:szCs w:val="24"/>
          <w:u w:val="single"/>
          <w:lang/>
        </w:rPr>
        <w:t>http://neurophilosophy.wordpress.com</w:t>
      </w:r>
    </w:p>
    <w:p w:rsidR="002C3D07" w:rsidRDefault="002C3D07"/>
    <w:sectPr w:rsidR="002C3D07" w:rsidSect="002C3D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6578F"/>
    <w:rsid w:val="002C3D07"/>
    <w:rsid w:val="00511121"/>
    <w:rsid w:val="009A42FB"/>
    <w:rsid w:val="00D6578F"/>
    <w:rsid w:val="00EF57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D07"/>
  </w:style>
  <w:style w:type="paragraph" w:styleId="Heading1">
    <w:name w:val="heading 1"/>
    <w:basedOn w:val="Normal"/>
    <w:link w:val="Heading1Char"/>
    <w:uiPriority w:val="9"/>
    <w:qFormat/>
    <w:rsid w:val="00D6578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578F"/>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D6578F"/>
    <w:rPr>
      <w:color w:val="0000FF"/>
      <w:u w:val="single"/>
    </w:rPr>
  </w:style>
  <w:style w:type="paragraph" w:styleId="NormalWeb">
    <w:name w:val="Normal (Web)"/>
    <w:basedOn w:val="Normal"/>
    <w:uiPriority w:val="99"/>
    <w:semiHidden/>
    <w:unhideWhenUsed/>
    <w:rsid w:val="00D6578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6578F"/>
    <w:rPr>
      <w:i/>
      <w:iCs/>
    </w:rPr>
  </w:style>
</w:styles>
</file>

<file path=word/webSettings.xml><?xml version="1.0" encoding="utf-8"?>
<w:webSettings xmlns:r="http://schemas.openxmlformats.org/officeDocument/2006/relationships" xmlns:w="http://schemas.openxmlformats.org/wordprocessingml/2006/main">
  <w:divs>
    <w:div w:id="1588424129">
      <w:bodyDiv w:val="1"/>
      <w:marLeft w:val="0"/>
      <w:marRight w:val="0"/>
      <w:marTop w:val="0"/>
      <w:marBottom w:val="0"/>
      <w:divBdr>
        <w:top w:val="none" w:sz="0" w:space="0" w:color="auto"/>
        <w:left w:val="none" w:sz="0" w:space="0" w:color="auto"/>
        <w:bottom w:val="none" w:sz="0" w:space="0" w:color="auto"/>
        <w:right w:val="none" w:sz="0" w:space="0" w:color="auto"/>
      </w:divBdr>
      <w:divsChild>
        <w:div w:id="817455370">
          <w:marLeft w:val="0"/>
          <w:marRight w:val="0"/>
          <w:marTop w:val="0"/>
          <w:marBottom w:val="0"/>
          <w:divBdr>
            <w:top w:val="none" w:sz="0" w:space="0" w:color="auto"/>
            <w:left w:val="none" w:sz="0" w:space="0" w:color="auto"/>
            <w:bottom w:val="none" w:sz="0" w:space="0" w:color="auto"/>
            <w:right w:val="none" w:sz="0" w:space="0" w:color="auto"/>
          </w:divBdr>
          <w:divsChild>
            <w:div w:id="1149201637">
              <w:marLeft w:val="0"/>
              <w:marRight w:val="0"/>
              <w:marTop w:val="0"/>
              <w:marBottom w:val="0"/>
              <w:divBdr>
                <w:top w:val="none" w:sz="0" w:space="0" w:color="auto"/>
                <w:left w:val="none" w:sz="0" w:space="0" w:color="auto"/>
                <w:bottom w:val="none" w:sz="0" w:space="0" w:color="auto"/>
                <w:right w:val="none" w:sz="0" w:space="0" w:color="auto"/>
              </w:divBdr>
              <w:divsChild>
                <w:div w:id="1773013762">
                  <w:marLeft w:val="0"/>
                  <w:marRight w:val="0"/>
                  <w:marTop w:val="0"/>
                  <w:marBottom w:val="0"/>
                  <w:divBdr>
                    <w:top w:val="none" w:sz="0" w:space="0" w:color="auto"/>
                    <w:left w:val="none" w:sz="0" w:space="0" w:color="auto"/>
                    <w:bottom w:val="none" w:sz="0" w:space="0" w:color="auto"/>
                    <w:right w:val="none" w:sz="0" w:space="0" w:color="auto"/>
                  </w:divBdr>
                  <w:divsChild>
                    <w:div w:id="419110096">
                      <w:marLeft w:val="0"/>
                      <w:marRight w:val="0"/>
                      <w:marTop w:val="0"/>
                      <w:marBottom w:val="0"/>
                      <w:divBdr>
                        <w:top w:val="none" w:sz="0" w:space="0" w:color="auto"/>
                        <w:left w:val="none" w:sz="0" w:space="0" w:color="auto"/>
                        <w:bottom w:val="none" w:sz="0" w:space="0" w:color="auto"/>
                        <w:right w:val="none" w:sz="0" w:space="0" w:color="auto"/>
                      </w:divBdr>
                      <w:divsChild>
                        <w:div w:id="1667438898">
                          <w:marLeft w:val="0"/>
                          <w:marRight w:val="0"/>
                          <w:marTop w:val="0"/>
                          <w:marBottom w:val="0"/>
                          <w:divBdr>
                            <w:top w:val="none" w:sz="0" w:space="0" w:color="auto"/>
                            <w:left w:val="none" w:sz="0" w:space="0" w:color="auto"/>
                            <w:bottom w:val="none" w:sz="0" w:space="0" w:color="auto"/>
                            <w:right w:val="none" w:sz="0" w:space="0" w:color="auto"/>
                          </w:divBdr>
                        </w:div>
                      </w:divsChild>
                    </w:div>
                    <w:div w:id="858004878">
                      <w:marLeft w:val="0"/>
                      <w:marRight w:val="0"/>
                      <w:marTop w:val="0"/>
                      <w:marBottom w:val="0"/>
                      <w:divBdr>
                        <w:top w:val="none" w:sz="0" w:space="0" w:color="auto"/>
                        <w:left w:val="none" w:sz="0" w:space="0" w:color="auto"/>
                        <w:bottom w:val="none" w:sz="0" w:space="0" w:color="auto"/>
                        <w:right w:val="none" w:sz="0" w:space="0" w:color="auto"/>
                      </w:divBdr>
                      <w:divsChild>
                        <w:div w:id="1998679419">
                          <w:marLeft w:val="0"/>
                          <w:marRight w:val="0"/>
                          <w:marTop w:val="0"/>
                          <w:marBottom w:val="0"/>
                          <w:divBdr>
                            <w:top w:val="none" w:sz="0" w:space="0" w:color="auto"/>
                            <w:left w:val="none" w:sz="0" w:space="0" w:color="auto"/>
                            <w:bottom w:val="none" w:sz="0" w:space="0" w:color="auto"/>
                            <w:right w:val="none" w:sz="0" w:space="0" w:color="auto"/>
                          </w:divBdr>
                        </w:div>
                      </w:divsChild>
                    </w:div>
                    <w:div w:id="890700586">
                      <w:marLeft w:val="0"/>
                      <w:marRight w:val="0"/>
                      <w:marTop w:val="0"/>
                      <w:marBottom w:val="0"/>
                      <w:divBdr>
                        <w:top w:val="none" w:sz="0" w:space="0" w:color="auto"/>
                        <w:left w:val="none" w:sz="0" w:space="0" w:color="auto"/>
                        <w:bottom w:val="none" w:sz="0" w:space="0" w:color="auto"/>
                        <w:right w:val="none" w:sz="0" w:space="0" w:color="auto"/>
                      </w:divBdr>
                      <w:divsChild>
                        <w:div w:id="1756786283">
                          <w:blockQuote w:val="1"/>
                          <w:marLeft w:val="720"/>
                          <w:marRight w:val="720"/>
                          <w:marTop w:val="100"/>
                          <w:marBottom w:val="100"/>
                          <w:divBdr>
                            <w:top w:val="none" w:sz="0" w:space="0" w:color="auto"/>
                            <w:left w:val="none" w:sz="0" w:space="0" w:color="auto"/>
                            <w:bottom w:val="none" w:sz="0" w:space="0" w:color="auto"/>
                            <w:right w:val="none" w:sz="0" w:space="0" w:color="auto"/>
                          </w:divBdr>
                        </w:div>
                        <w:div w:id="365839667">
                          <w:blockQuote w:val="1"/>
                          <w:marLeft w:val="720"/>
                          <w:marRight w:val="720"/>
                          <w:marTop w:val="100"/>
                          <w:marBottom w:val="100"/>
                          <w:divBdr>
                            <w:top w:val="none" w:sz="0" w:space="0" w:color="auto"/>
                            <w:left w:val="none" w:sz="0" w:space="0" w:color="auto"/>
                            <w:bottom w:val="none" w:sz="0" w:space="0" w:color="auto"/>
                            <w:right w:val="none" w:sz="0" w:space="0" w:color="auto"/>
                          </w:divBdr>
                        </w:div>
                        <w:div w:id="1534079427">
                          <w:blockQuote w:val="1"/>
                          <w:marLeft w:val="720"/>
                          <w:marRight w:val="720"/>
                          <w:marTop w:val="100"/>
                          <w:marBottom w:val="100"/>
                          <w:divBdr>
                            <w:top w:val="none" w:sz="0" w:space="0" w:color="auto"/>
                            <w:left w:val="none" w:sz="0" w:space="0" w:color="auto"/>
                            <w:bottom w:val="none" w:sz="0" w:space="0" w:color="auto"/>
                            <w:right w:val="none" w:sz="0" w:space="0" w:color="auto"/>
                          </w:divBdr>
                        </w:div>
                        <w:div w:id="317223990">
                          <w:blockQuote w:val="1"/>
                          <w:marLeft w:val="720"/>
                          <w:marRight w:val="720"/>
                          <w:marTop w:val="100"/>
                          <w:marBottom w:val="100"/>
                          <w:divBdr>
                            <w:top w:val="none" w:sz="0" w:space="0" w:color="auto"/>
                            <w:left w:val="none" w:sz="0" w:space="0" w:color="auto"/>
                            <w:bottom w:val="none" w:sz="0" w:space="0" w:color="auto"/>
                            <w:right w:val="none" w:sz="0" w:space="0" w:color="auto"/>
                          </w:divBdr>
                        </w:div>
                        <w:div w:id="14936459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ebertonline.com/doi/abs/10.1089/089771504774129964" TargetMode="External"/><Relationship Id="rId13"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www.sciencemag.org/cgi/content/abstract/264/5162/1102" TargetMode="External"/><Relationship Id="rId12" Type="http://schemas.openxmlformats.org/officeDocument/2006/relationships/hyperlink" Target="http://www.blackwell-synergy.com/doi/pdf/10.1111/j.0013-9580.2004.63303.x"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human-nature.com/mba/mba1.html" TargetMode="External"/><Relationship Id="rId5" Type="http://schemas.openxmlformats.org/officeDocument/2006/relationships/hyperlink" Target="http://www.neuro.psychiatryonline.org/cgi/content/full/11/2/281" TargetMode="External"/><Relationship Id="rId15" Type="http://schemas.openxmlformats.org/officeDocument/2006/relationships/fontTable" Target="fontTable.xml"/><Relationship Id="rId10" Type="http://schemas.openxmlformats.org/officeDocument/2006/relationships/hyperlink" Target="http://www.sfn.org/skins/main/pdf/HistoryofNeuroscience/broca.pdf" TargetMode="External"/><Relationship Id="rId4" Type="http://schemas.openxmlformats.org/officeDocument/2006/relationships/image" Target="media/image1.gif"/><Relationship Id="rId9" Type="http://schemas.openxmlformats.org/officeDocument/2006/relationships/hyperlink" Target="http://pages.britishlibrary.net/phrenology/" TargetMode="External"/><Relationship Id="rId14" Type="http://schemas.openxmlformats.org/officeDocument/2006/relationships/hyperlink" Target="http://www.countway.med.harvard.edu/warr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1893</Words>
  <Characters>10795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AST</Company>
  <LinksUpToDate>false</LinksUpToDate>
  <CharactersWithSpaces>12663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Comp13</dc:creator>
  <cp:keywords/>
  <dc:description/>
  <cp:lastModifiedBy>Comp13</cp:lastModifiedBy>
  <cp:revision>2</cp:revision>
  <cp:lastPrinted>2009-10-02T18:24:00Z</cp:lastPrinted>
  <dcterms:created xsi:type="dcterms:W3CDTF">2009-10-02T17:40:00Z</dcterms:created>
  <dcterms:modified xsi:type="dcterms:W3CDTF">2009-10-02T18:24:00Z</dcterms:modified>
</cp:coreProperties>
</file>